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FE61" w14:textId="77777777" w:rsidR="0026128F" w:rsidRPr="0050510A" w:rsidRDefault="0026128F" w:rsidP="0026128F">
      <w:pPr>
        <w:jc w:val="center"/>
        <w:rPr>
          <w:b/>
          <w:sz w:val="32"/>
          <w:szCs w:val="32"/>
        </w:rPr>
      </w:pPr>
      <w:r w:rsidRPr="0050510A">
        <w:rPr>
          <w:b/>
          <w:sz w:val="32"/>
          <w:szCs w:val="32"/>
        </w:rPr>
        <w:t>Themes in Kant’s Moral and Political Philosophy</w:t>
      </w:r>
    </w:p>
    <w:p w14:paraId="102CBF42" w14:textId="77777777" w:rsidR="0026128F" w:rsidRPr="00ED23E2" w:rsidRDefault="0026128F" w:rsidP="0026128F">
      <w:pPr>
        <w:jc w:val="center"/>
        <w:rPr>
          <w:sz w:val="32"/>
          <w:szCs w:val="32"/>
        </w:rPr>
      </w:pPr>
    </w:p>
    <w:p w14:paraId="1FB20FBC" w14:textId="66414EEF" w:rsidR="0026128F" w:rsidRDefault="0026128F" w:rsidP="0026128F">
      <w:pPr>
        <w:jc w:val="center"/>
        <w:rPr>
          <w:b/>
          <w:sz w:val="32"/>
          <w:szCs w:val="32"/>
        </w:rPr>
      </w:pPr>
      <w:r w:rsidRPr="0050510A">
        <w:rPr>
          <w:b/>
          <w:sz w:val="32"/>
          <w:szCs w:val="32"/>
        </w:rPr>
        <w:t xml:space="preserve">Lecture </w:t>
      </w:r>
      <w:r w:rsidR="001C1F51">
        <w:rPr>
          <w:b/>
          <w:sz w:val="32"/>
          <w:szCs w:val="32"/>
        </w:rPr>
        <w:t>2: The s</w:t>
      </w:r>
      <w:r w:rsidR="00EB680C">
        <w:rPr>
          <w:b/>
          <w:sz w:val="32"/>
          <w:szCs w:val="32"/>
        </w:rPr>
        <w:t>tate of n</w:t>
      </w:r>
      <w:r w:rsidR="006A5B9F">
        <w:rPr>
          <w:b/>
          <w:sz w:val="32"/>
          <w:szCs w:val="32"/>
        </w:rPr>
        <w:t>ature</w:t>
      </w:r>
    </w:p>
    <w:p w14:paraId="18F684A3" w14:textId="77777777" w:rsidR="0062256E" w:rsidRPr="0050510A" w:rsidRDefault="0062256E" w:rsidP="0026128F">
      <w:pPr>
        <w:jc w:val="center"/>
        <w:rPr>
          <w:b/>
          <w:sz w:val="32"/>
          <w:szCs w:val="32"/>
        </w:rPr>
      </w:pPr>
    </w:p>
    <w:p w14:paraId="0696B975" w14:textId="3FB3ED89" w:rsidR="0026128F" w:rsidRDefault="00A92920" w:rsidP="0026128F">
      <w:pPr>
        <w:jc w:val="left"/>
        <w:rPr>
          <w:b/>
          <w:sz w:val="28"/>
          <w:szCs w:val="28"/>
        </w:rPr>
      </w:pPr>
      <w:r>
        <w:rPr>
          <w:b/>
          <w:sz w:val="28"/>
          <w:szCs w:val="28"/>
        </w:rPr>
        <w:t>1</w:t>
      </w:r>
      <w:r w:rsidR="00EC234B">
        <w:rPr>
          <w:b/>
          <w:sz w:val="28"/>
          <w:szCs w:val="28"/>
        </w:rPr>
        <w:t>. Theories of the state of nature</w:t>
      </w:r>
    </w:p>
    <w:p w14:paraId="21838ECB" w14:textId="77777777" w:rsidR="00A92920" w:rsidRDefault="00A92920" w:rsidP="00A92920">
      <w:pPr>
        <w:jc w:val="left"/>
        <w:rPr>
          <w:b/>
          <w:sz w:val="28"/>
          <w:szCs w:val="28"/>
        </w:rPr>
      </w:pPr>
    </w:p>
    <w:p w14:paraId="6C95FFB6" w14:textId="19670DA7" w:rsidR="00725F91" w:rsidRDefault="00725F91" w:rsidP="00A92920">
      <w:pPr>
        <w:jc w:val="left"/>
        <w:rPr>
          <w:b/>
          <w:sz w:val="28"/>
          <w:szCs w:val="28"/>
        </w:rPr>
      </w:pPr>
      <w:r>
        <w:rPr>
          <w:b/>
          <w:sz w:val="28"/>
          <w:szCs w:val="28"/>
        </w:rPr>
        <w:t>Hobbes:</w:t>
      </w:r>
    </w:p>
    <w:p w14:paraId="1A23435D" w14:textId="77777777" w:rsidR="00FE171E" w:rsidRDefault="00FE171E" w:rsidP="00A92920">
      <w:pPr>
        <w:rPr>
          <w:color w:val="000000" w:themeColor="text1"/>
          <w:sz w:val="28"/>
          <w:szCs w:val="28"/>
        </w:rPr>
      </w:pPr>
    </w:p>
    <w:p w14:paraId="4725E794" w14:textId="6BAFD997" w:rsidR="00A92920" w:rsidRDefault="00FE171E" w:rsidP="00A92920">
      <w:pPr>
        <w:rPr>
          <w:sz w:val="28"/>
          <w:szCs w:val="28"/>
        </w:rPr>
      </w:pPr>
      <w:r>
        <w:rPr>
          <w:color w:val="000000" w:themeColor="text1"/>
          <w:sz w:val="28"/>
          <w:szCs w:val="28"/>
        </w:rPr>
        <w:t>T</w:t>
      </w:r>
      <w:r w:rsidRPr="00FE171E">
        <w:rPr>
          <w:color w:val="000000" w:themeColor="text1"/>
          <w:sz w:val="28"/>
          <w:szCs w:val="28"/>
        </w:rPr>
        <w:t xml:space="preserve">he state of nature is </w:t>
      </w:r>
      <w:r w:rsidRPr="00FE171E">
        <w:rPr>
          <w:sz w:val="28"/>
          <w:szCs w:val="28"/>
        </w:rPr>
        <w:t>“</w:t>
      </w:r>
      <w:r w:rsidRPr="00FE171E">
        <w:rPr>
          <w:rFonts w:eastAsia="Times New Roman" w:cs="Times New Roman"/>
          <w:iCs w:val="0"/>
          <w:color w:val="1A1A1A"/>
          <w:sz w:val="28"/>
          <w:szCs w:val="28"/>
          <w:shd w:val="clear" w:color="auto" w:fill="FFFFFF"/>
        </w:rPr>
        <w:t>no place for industry, because the fruit thereof is uncertain; and consequently no culture of the earth; no navigation, nor use of the comm</w:t>
      </w:r>
      <w:bookmarkStart w:id="0" w:name="_GoBack"/>
      <w:bookmarkEnd w:id="0"/>
      <w:r w:rsidRPr="00FE171E">
        <w:rPr>
          <w:rFonts w:eastAsia="Times New Roman" w:cs="Times New Roman"/>
          <w:iCs w:val="0"/>
          <w:color w:val="1A1A1A"/>
          <w:sz w:val="28"/>
          <w:szCs w:val="28"/>
          <w:shd w:val="clear" w:color="auto" w:fill="FFFFFF"/>
        </w:rPr>
        <w:t>odities that may be imported by Sea; no commodious Building; no Instruments of moving and removing such things as require much force; no Knowledge of the face of the Earth; no account of Time; no Arts; no Letters; and which is wo</w:t>
      </w:r>
      <w:r>
        <w:rPr>
          <w:rFonts w:eastAsia="Times New Roman" w:cs="Times New Roman"/>
          <w:iCs w:val="0"/>
          <w:color w:val="1A1A1A"/>
          <w:sz w:val="28"/>
          <w:szCs w:val="28"/>
          <w:shd w:val="clear" w:color="auto" w:fill="FFFFFF"/>
        </w:rPr>
        <w:t>rst of all, continual fear</w:t>
      </w:r>
      <w:r w:rsidRPr="00FE171E">
        <w:rPr>
          <w:rFonts w:eastAsia="Times New Roman" w:cs="Times New Roman"/>
          <w:iCs w:val="0"/>
          <w:color w:val="1A1A1A"/>
          <w:sz w:val="28"/>
          <w:szCs w:val="28"/>
          <w:shd w:val="clear" w:color="auto" w:fill="FFFFFF"/>
        </w:rPr>
        <w:t xml:space="preserve">, and danger of violent death; And </w:t>
      </w:r>
      <w:r>
        <w:rPr>
          <w:rFonts w:eastAsia="Times New Roman" w:cs="Times New Roman"/>
          <w:iCs w:val="0"/>
          <w:color w:val="1A1A1A"/>
          <w:sz w:val="28"/>
          <w:szCs w:val="28"/>
          <w:shd w:val="clear" w:color="auto" w:fill="FFFFFF"/>
        </w:rPr>
        <w:t>the life of man, solitary, poor</w:t>
      </w:r>
      <w:r w:rsidRPr="00FE171E">
        <w:rPr>
          <w:rFonts w:eastAsia="Times New Roman" w:cs="Times New Roman"/>
          <w:iCs w:val="0"/>
          <w:color w:val="1A1A1A"/>
          <w:sz w:val="28"/>
          <w:szCs w:val="28"/>
          <w:shd w:val="clear" w:color="auto" w:fill="FFFFFF"/>
        </w:rPr>
        <w:t>, nasty, brutish, and short.</w:t>
      </w:r>
      <w:r w:rsidRPr="00FE171E">
        <w:rPr>
          <w:sz w:val="28"/>
          <w:szCs w:val="28"/>
        </w:rPr>
        <w:t>” (</w:t>
      </w:r>
      <w:r w:rsidRPr="00FE171E">
        <w:rPr>
          <w:i/>
          <w:sz w:val="28"/>
          <w:szCs w:val="28"/>
        </w:rPr>
        <w:t xml:space="preserve">Leviathan </w:t>
      </w:r>
      <w:r w:rsidRPr="00FE171E">
        <w:rPr>
          <w:sz w:val="28"/>
          <w:szCs w:val="28"/>
        </w:rPr>
        <w:t>XIII.9).</w:t>
      </w:r>
    </w:p>
    <w:p w14:paraId="7A023D51" w14:textId="77777777" w:rsidR="00FE171E" w:rsidRDefault="00FE171E" w:rsidP="00A92920">
      <w:pPr>
        <w:rPr>
          <w:sz w:val="28"/>
          <w:szCs w:val="28"/>
        </w:rPr>
      </w:pPr>
    </w:p>
    <w:p w14:paraId="50466301" w14:textId="0C3F50EA" w:rsidR="00725F91" w:rsidRDefault="00BF686B" w:rsidP="000B5A62">
      <w:pPr>
        <w:rPr>
          <w:sz w:val="28"/>
          <w:szCs w:val="28"/>
        </w:rPr>
      </w:pPr>
      <w:r>
        <w:rPr>
          <w:sz w:val="28"/>
          <w:szCs w:val="28"/>
        </w:rPr>
        <w:t>“To this war of every man against every man</w:t>
      </w:r>
      <w:r w:rsidR="00725F91">
        <w:rPr>
          <w:sz w:val="28"/>
          <w:szCs w:val="28"/>
        </w:rPr>
        <w:t>, this also is consequent; that</w:t>
      </w:r>
      <w:r w:rsidR="000B5A62">
        <w:rPr>
          <w:sz w:val="28"/>
          <w:szCs w:val="28"/>
        </w:rPr>
        <w:t xml:space="preserve"> </w:t>
      </w:r>
      <w:r>
        <w:rPr>
          <w:sz w:val="28"/>
          <w:szCs w:val="28"/>
        </w:rPr>
        <w:t>nothing can be unjust. The notions of right and wrong, justice and injustice</w:t>
      </w:r>
    </w:p>
    <w:p w14:paraId="5CF1CFDD" w14:textId="58601B77" w:rsidR="00BF686B" w:rsidRDefault="00BF686B" w:rsidP="000B5A62">
      <w:pPr>
        <w:rPr>
          <w:sz w:val="28"/>
          <w:szCs w:val="28"/>
        </w:rPr>
      </w:pPr>
      <w:r>
        <w:rPr>
          <w:sz w:val="28"/>
          <w:szCs w:val="28"/>
        </w:rPr>
        <w:t>have no place there” (</w:t>
      </w:r>
      <w:r w:rsidR="00637C60" w:rsidRPr="000B5A62">
        <w:rPr>
          <w:i/>
          <w:sz w:val="28"/>
          <w:szCs w:val="28"/>
        </w:rPr>
        <w:t>Leviathan</w:t>
      </w:r>
      <w:r w:rsidR="009C3894">
        <w:rPr>
          <w:sz w:val="28"/>
          <w:szCs w:val="28"/>
        </w:rPr>
        <w:t xml:space="preserve"> </w:t>
      </w:r>
      <w:r>
        <w:rPr>
          <w:sz w:val="28"/>
          <w:szCs w:val="28"/>
        </w:rPr>
        <w:t>XIII.13).</w:t>
      </w:r>
    </w:p>
    <w:p w14:paraId="5F556032" w14:textId="441AA4FC" w:rsidR="0026128F" w:rsidRDefault="003F6F1A" w:rsidP="0026128F">
      <w:pPr>
        <w:jc w:val="left"/>
        <w:rPr>
          <w:sz w:val="28"/>
          <w:szCs w:val="28"/>
        </w:rPr>
      </w:pPr>
      <w:r>
        <w:rPr>
          <w:sz w:val="28"/>
          <w:szCs w:val="28"/>
        </w:rPr>
        <w:t xml:space="preserve"> </w:t>
      </w:r>
    </w:p>
    <w:p w14:paraId="2E8675D2" w14:textId="76594FDA" w:rsidR="00725F91" w:rsidRDefault="00725F91" w:rsidP="00A92920">
      <w:pPr>
        <w:jc w:val="left"/>
        <w:rPr>
          <w:b/>
          <w:sz w:val="28"/>
          <w:szCs w:val="28"/>
        </w:rPr>
      </w:pPr>
      <w:r>
        <w:rPr>
          <w:b/>
          <w:sz w:val="28"/>
          <w:szCs w:val="28"/>
        </w:rPr>
        <w:t>Locke:</w:t>
      </w:r>
    </w:p>
    <w:p w14:paraId="2F77646A" w14:textId="77777777" w:rsidR="00844981" w:rsidRDefault="00844981" w:rsidP="00A92920">
      <w:pPr>
        <w:jc w:val="left"/>
        <w:rPr>
          <w:b/>
          <w:sz w:val="28"/>
          <w:szCs w:val="28"/>
        </w:rPr>
      </w:pPr>
    </w:p>
    <w:p w14:paraId="1D0089C3" w14:textId="2E9298A8" w:rsidR="00894238" w:rsidRPr="00894238" w:rsidRDefault="00894238" w:rsidP="00894238">
      <w:pPr>
        <w:rPr>
          <w:color w:val="000000" w:themeColor="text1"/>
          <w:sz w:val="28"/>
          <w:szCs w:val="28"/>
        </w:rPr>
      </w:pPr>
      <w:r>
        <w:rPr>
          <w:sz w:val="28"/>
          <w:szCs w:val="28"/>
        </w:rPr>
        <w:t xml:space="preserve">“Though [the state of nature] be a </w:t>
      </w:r>
      <w:proofErr w:type="spellStart"/>
      <w:r>
        <w:rPr>
          <w:sz w:val="28"/>
          <w:szCs w:val="28"/>
        </w:rPr>
        <w:t>state</w:t>
      </w:r>
      <w:proofErr w:type="spellEnd"/>
      <w:r>
        <w:rPr>
          <w:sz w:val="28"/>
          <w:szCs w:val="28"/>
        </w:rPr>
        <w:t xml:space="preserve"> of liberty, yet it is not a state of license</w:t>
      </w:r>
      <w:r w:rsidR="00681626">
        <w:rPr>
          <w:sz w:val="28"/>
          <w:szCs w:val="28"/>
        </w:rPr>
        <w:t>…</w:t>
      </w:r>
      <w:r w:rsidRPr="00894238">
        <w:rPr>
          <w:color w:val="000000" w:themeColor="text1"/>
          <w:sz w:val="28"/>
          <w:szCs w:val="28"/>
        </w:rPr>
        <w:t xml:space="preserve"> The state of nature has a law of nature to govern it, which obliges everyone: and reason, which is that law, teaches all mankind, who will but consult it, that being all equal and independent, no one ought to harm another in his life, health, liberty or possessions.” (</w:t>
      </w:r>
      <w:r w:rsidRPr="00894238">
        <w:rPr>
          <w:i/>
          <w:color w:val="000000" w:themeColor="text1"/>
          <w:sz w:val="28"/>
          <w:szCs w:val="28"/>
        </w:rPr>
        <w:t>Second Treatise</w:t>
      </w:r>
      <w:r w:rsidRPr="00894238">
        <w:rPr>
          <w:color w:val="000000" w:themeColor="text1"/>
          <w:sz w:val="28"/>
          <w:szCs w:val="28"/>
        </w:rPr>
        <w:t xml:space="preserve"> II.6). </w:t>
      </w:r>
    </w:p>
    <w:p w14:paraId="487399B2" w14:textId="77777777" w:rsidR="003A680E" w:rsidRDefault="003A680E" w:rsidP="00471B3A">
      <w:pPr>
        <w:rPr>
          <w:sz w:val="28"/>
          <w:szCs w:val="28"/>
        </w:rPr>
      </w:pPr>
    </w:p>
    <w:p w14:paraId="15DC1BF5" w14:textId="6E171927" w:rsidR="003A680E" w:rsidRPr="00D17D81" w:rsidRDefault="003A680E" w:rsidP="00471B3A">
      <w:pPr>
        <w:rPr>
          <w:sz w:val="28"/>
          <w:szCs w:val="28"/>
        </w:rPr>
      </w:pPr>
      <w:r>
        <w:rPr>
          <w:sz w:val="28"/>
          <w:szCs w:val="28"/>
        </w:rPr>
        <w:t xml:space="preserve">“I easily grant, that civil government is the proper remedy for the inconveniences of the state of nature, which must certainly be great, where men may be </w:t>
      </w:r>
      <w:r w:rsidR="00D17D81">
        <w:rPr>
          <w:sz w:val="28"/>
          <w:szCs w:val="28"/>
        </w:rPr>
        <w:t>judges in their own case…” (</w:t>
      </w:r>
      <w:r w:rsidR="00D17D81">
        <w:rPr>
          <w:i/>
          <w:sz w:val="28"/>
          <w:szCs w:val="28"/>
        </w:rPr>
        <w:t xml:space="preserve">Second Treatise </w:t>
      </w:r>
      <w:r w:rsidR="00D17D81">
        <w:rPr>
          <w:sz w:val="28"/>
          <w:szCs w:val="28"/>
        </w:rPr>
        <w:t xml:space="preserve">II.13). </w:t>
      </w:r>
    </w:p>
    <w:p w14:paraId="2200308E" w14:textId="77777777" w:rsidR="00725F91" w:rsidRPr="00725F91" w:rsidRDefault="00725F91" w:rsidP="0026128F">
      <w:pPr>
        <w:jc w:val="left"/>
        <w:rPr>
          <w:b/>
          <w:sz w:val="28"/>
          <w:szCs w:val="28"/>
        </w:rPr>
      </w:pPr>
    </w:p>
    <w:p w14:paraId="7C53A631" w14:textId="0BA761EA" w:rsidR="0025304B" w:rsidRDefault="00725F91" w:rsidP="0026128F">
      <w:pPr>
        <w:jc w:val="left"/>
        <w:rPr>
          <w:b/>
          <w:sz w:val="28"/>
          <w:szCs w:val="28"/>
        </w:rPr>
      </w:pPr>
      <w:r>
        <w:rPr>
          <w:b/>
          <w:sz w:val="28"/>
          <w:szCs w:val="28"/>
        </w:rPr>
        <w:t xml:space="preserve">Rousseau: </w:t>
      </w:r>
    </w:p>
    <w:p w14:paraId="1253FDFE" w14:textId="77777777" w:rsidR="00844981" w:rsidRDefault="00844981" w:rsidP="0026128F">
      <w:pPr>
        <w:jc w:val="left"/>
        <w:rPr>
          <w:sz w:val="28"/>
          <w:szCs w:val="28"/>
        </w:rPr>
      </w:pPr>
    </w:p>
    <w:p w14:paraId="5F240829" w14:textId="493E0F21" w:rsidR="00574664" w:rsidRPr="00D22154" w:rsidRDefault="0025304B" w:rsidP="00D22154">
      <w:pPr>
        <w:widowControl w:val="0"/>
        <w:autoSpaceDE w:val="0"/>
        <w:autoSpaceDN w:val="0"/>
        <w:adjustRightInd w:val="0"/>
        <w:spacing w:after="240"/>
        <w:rPr>
          <w:rFonts w:cs="Times"/>
          <w:sz w:val="28"/>
          <w:szCs w:val="28"/>
        </w:rPr>
      </w:pPr>
      <w:r>
        <w:rPr>
          <w:sz w:val="28"/>
          <w:szCs w:val="28"/>
        </w:rPr>
        <w:t>“</w:t>
      </w:r>
      <w:r w:rsidR="00EB3115" w:rsidRPr="004E444C">
        <w:rPr>
          <w:rFonts w:cs="Times"/>
          <w:sz w:val="28"/>
          <w:szCs w:val="28"/>
        </w:rPr>
        <w:t>The problem is to find a form of association which will defend and protect with the whole common force the person and goods of each associate, and in which each, while uniting himself with all, may still obey himself alone, and remain as free as before.</w:t>
      </w:r>
      <w:r w:rsidR="00EB3115" w:rsidRPr="004E444C">
        <w:rPr>
          <w:sz w:val="28"/>
          <w:szCs w:val="28"/>
        </w:rPr>
        <w:t>” (</w:t>
      </w:r>
      <w:r w:rsidR="00EB3115" w:rsidRPr="004E444C">
        <w:rPr>
          <w:i/>
          <w:sz w:val="28"/>
          <w:szCs w:val="28"/>
        </w:rPr>
        <w:t xml:space="preserve">Social Contract </w:t>
      </w:r>
      <w:r w:rsidR="00EB3115">
        <w:rPr>
          <w:sz w:val="28"/>
          <w:szCs w:val="28"/>
        </w:rPr>
        <w:t>I.6</w:t>
      </w:r>
      <w:r w:rsidR="00EB3115" w:rsidRPr="004E444C">
        <w:rPr>
          <w:sz w:val="28"/>
          <w:szCs w:val="28"/>
        </w:rPr>
        <w:t>).</w:t>
      </w:r>
    </w:p>
    <w:p w14:paraId="769D67BC" w14:textId="77777777" w:rsidR="00424A52" w:rsidRDefault="00424A52" w:rsidP="0025304B">
      <w:pPr>
        <w:rPr>
          <w:b/>
          <w:sz w:val="28"/>
          <w:szCs w:val="28"/>
        </w:rPr>
      </w:pPr>
    </w:p>
    <w:p w14:paraId="0FA17DA7" w14:textId="77777777" w:rsidR="00424A52" w:rsidRDefault="00424A52" w:rsidP="0025304B">
      <w:pPr>
        <w:rPr>
          <w:b/>
          <w:sz w:val="28"/>
          <w:szCs w:val="28"/>
        </w:rPr>
      </w:pPr>
    </w:p>
    <w:p w14:paraId="415E27F0" w14:textId="77777777" w:rsidR="00424A52" w:rsidRDefault="00424A52" w:rsidP="0025304B">
      <w:pPr>
        <w:rPr>
          <w:b/>
          <w:sz w:val="28"/>
          <w:szCs w:val="28"/>
        </w:rPr>
      </w:pPr>
    </w:p>
    <w:p w14:paraId="0459FF77" w14:textId="60CE399D" w:rsidR="00574664" w:rsidRDefault="00A92920" w:rsidP="0025304B">
      <w:pPr>
        <w:rPr>
          <w:b/>
          <w:sz w:val="28"/>
          <w:szCs w:val="28"/>
        </w:rPr>
      </w:pPr>
      <w:r>
        <w:rPr>
          <w:b/>
          <w:sz w:val="28"/>
          <w:szCs w:val="28"/>
        </w:rPr>
        <w:lastRenderedPageBreak/>
        <w:t>2.</w:t>
      </w:r>
      <w:r w:rsidR="000A4D54">
        <w:rPr>
          <w:b/>
          <w:sz w:val="28"/>
          <w:szCs w:val="28"/>
        </w:rPr>
        <w:t xml:space="preserve"> </w:t>
      </w:r>
      <w:r>
        <w:rPr>
          <w:b/>
          <w:sz w:val="28"/>
          <w:szCs w:val="28"/>
        </w:rPr>
        <w:t>Kant: the problems of the state of nature</w:t>
      </w:r>
    </w:p>
    <w:p w14:paraId="28860057" w14:textId="77777777" w:rsidR="00424EE4" w:rsidRDefault="00424EE4" w:rsidP="0026128F">
      <w:pPr>
        <w:jc w:val="left"/>
        <w:rPr>
          <w:sz w:val="28"/>
          <w:szCs w:val="28"/>
        </w:rPr>
      </w:pPr>
    </w:p>
    <w:p w14:paraId="6C780732" w14:textId="5DDFCD61" w:rsidR="00C31F76" w:rsidRDefault="00C31F76" w:rsidP="004B5C08">
      <w:pPr>
        <w:rPr>
          <w:sz w:val="28"/>
          <w:szCs w:val="28"/>
        </w:rPr>
      </w:pPr>
      <w:r>
        <w:rPr>
          <w:smallCaps/>
          <w:sz w:val="28"/>
          <w:szCs w:val="28"/>
        </w:rPr>
        <w:t>unilateral choice</w:t>
      </w:r>
      <w:r w:rsidR="00473368" w:rsidRPr="00A96044">
        <w:rPr>
          <w:smallCaps/>
          <w:sz w:val="28"/>
          <w:szCs w:val="28"/>
        </w:rPr>
        <w:t>:</w:t>
      </w:r>
      <w:r w:rsidR="00473368">
        <w:rPr>
          <w:sz w:val="28"/>
          <w:szCs w:val="28"/>
        </w:rPr>
        <w:t xml:space="preserve"> </w:t>
      </w:r>
      <w:r>
        <w:rPr>
          <w:sz w:val="28"/>
          <w:szCs w:val="28"/>
        </w:rPr>
        <w:t>“A unilateral will cannot serve as a coercive law for everyone with regard to possession that is external and therefore contingent, since that would infringe upon freedom in accordance with universal laws” (MM 6:256)</w:t>
      </w:r>
    </w:p>
    <w:p w14:paraId="47C9E1C3" w14:textId="77777777" w:rsidR="00D2527D" w:rsidRDefault="00D2527D" w:rsidP="004B5C08">
      <w:pPr>
        <w:rPr>
          <w:sz w:val="28"/>
          <w:szCs w:val="28"/>
        </w:rPr>
      </w:pPr>
    </w:p>
    <w:p w14:paraId="26E6BEF9" w14:textId="6DD6FACC" w:rsidR="00D2527D" w:rsidRPr="00C73A7F" w:rsidRDefault="00D2527D" w:rsidP="004B5C08">
      <w:pPr>
        <w:rPr>
          <w:sz w:val="28"/>
          <w:szCs w:val="28"/>
        </w:rPr>
      </w:pPr>
      <w:r>
        <w:rPr>
          <w:smallCaps/>
          <w:sz w:val="28"/>
          <w:szCs w:val="28"/>
        </w:rPr>
        <w:t xml:space="preserve">indeterminacy: </w:t>
      </w:r>
      <w:r w:rsidR="00C73A7F">
        <w:rPr>
          <w:sz w:val="28"/>
          <w:szCs w:val="28"/>
        </w:rPr>
        <w:t>“The indeterminacy, with respect to quantity as well as quality, of the external object that can be acquired makes this problem (of the sole, original external acquisition) the hardest of all to solve” (MM 6:266)</w:t>
      </w:r>
    </w:p>
    <w:p w14:paraId="06319A57" w14:textId="77777777" w:rsidR="003F25EE" w:rsidRDefault="003F25EE" w:rsidP="004B5C08">
      <w:pPr>
        <w:rPr>
          <w:smallCaps/>
          <w:sz w:val="28"/>
          <w:szCs w:val="28"/>
        </w:rPr>
      </w:pPr>
    </w:p>
    <w:p w14:paraId="37FAB514" w14:textId="6B6047E9" w:rsidR="003F25EE" w:rsidRPr="003F25EE" w:rsidRDefault="003F25EE" w:rsidP="004B5C08">
      <w:pPr>
        <w:rPr>
          <w:sz w:val="28"/>
          <w:szCs w:val="28"/>
        </w:rPr>
      </w:pPr>
      <w:r>
        <w:rPr>
          <w:smallCaps/>
          <w:sz w:val="28"/>
          <w:szCs w:val="28"/>
        </w:rPr>
        <w:t>assurance</w:t>
      </w:r>
      <w:r w:rsidRPr="00A96044">
        <w:rPr>
          <w:smallCaps/>
          <w:sz w:val="28"/>
          <w:szCs w:val="28"/>
        </w:rPr>
        <w:t>:</w:t>
      </w:r>
      <w:r w:rsidRPr="000526A2">
        <w:rPr>
          <w:sz w:val="28"/>
          <w:szCs w:val="28"/>
        </w:rPr>
        <w:t xml:space="preserve"> “I am…not under obligation to leave external objects belonging to others untouched unless everyone else provides me assurance that he will behave in accordance with the same principle with regard to what is mine” (MM 6:255).</w:t>
      </w:r>
    </w:p>
    <w:p w14:paraId="2A4A9DC2" w14:textId="77777777" w:rsidR="00972628" w:rsidRDefault="00972628" w:rsidP="0026128F">
      <w:pPr>
        <w:jc w:val="left"/>
        <w:rPr>
          <w:b/>
          <w:sz w:val="28"/>
          <w:szCs w:val="28"/>
        </w:rPr>
      </w:pPr>
    </w:p>
    <w:p w14:paraId="7CB68E13" w14:textId="0928A31F" w:rsidR="0026128F" w:rsidRPr="000A4D54" w:rsidRDefault="0042253B" w:rsidP="000A4D54">
      <w:pPr>
        <w:jc w:val="left"/>
        <w:rPr>
          <w:b/>
          <w:sz w:val="28"/>
          <w:szCs w:val="28"/>
        </w:rPr>
      </w:pPr>
      <w:r>
        <w:rPr>
          <w:b/>
          <w:sz w:val="28"/>
          <w:szCs w:val="28"/>
        </w:rPr>
        <w:t>3.</w:t>
      </w:r>
      <w:r w:rsidR="000A4D54">
        <w:rPr>
          <w:b/>
          <w:sz w:val="28"/>
          <w:szCs w:val="28"/>
        </w:rPr>
        <w:t xml:space="preserve"> </w:t>
      </w:r>
      <w:r w:rsidR="003C4FB5">
        <w:rPr>
          <w:b/>
          <w:sz w:val="28"/>
          <w:szCs w:val="28"/>
        </w:rPr>
        <w:t>The civil condition</w:t>
      </w:r>
      <w:r w:rsidR="0026128F" w:rsidRPr="000A4D54">
        <w:rPr>
          <w:b/>
          <w:sz w:val="28"/>
          <w:szCs w:val="28"/>
        </w:rPr>
        <w:t xml:space="preserve"> </w:t>
      </w:r>
    </w:p>
    <w:p w14:paraId="1C43D3B4" w14:textId="77777777" w:rsidR="005D0658" w:rsidRDefault="005D0658" w:rsidP="005D0658">
      <w:pPr>
        <w:jc w:val="left"/>
        <w:rPr>
          <w:b/>
          <w:sz w:val="28"/>
          <w:szCs w:val="28"/>
        </w:rPr>
      </w:pPr>
    </w:p>
    <w:p w14:paraId="4D84F976" w14:textId="6888E844" w:rsidR="000D5A88" w:rsidRPr="000D5A88" w:rsidRDefault="000D5A88" w:rsidP="000D5A88">
      <w:pPr>
        <w:rPr>
          <w:sz w:val="28"/>
          <w:szCs w:val="28"/>
        </w:rPr>
      </w:pPr>
      <w:r>
        <w:rPr>
          <w:sz w:val="28"/>
          <w:szCs w:val="28"/>
        </w:rPr>
        <w:t>“</w:t>
      </w:r>
      <w:proofErr w:type="gramStart"/>
      <w:r>
        <w:rPr>
          <w:sz w:val="28"/>
          <w:szCs w:val="28"/>
        </w:rPr>
        <w:t>So</w:t>
      </w:r>
      <w:proofErr w:type="gramEnd"/>
      <w:r>
        <w:rPr>
          <w:sz w:val="28"/>
          <w:szCs w:val="28"/>
        </w:rPr>
        <w:t xml:space="preserve"> it is only a will putting everyone under obligation, hence only a collective general and power will, that can provide everyone with this assurance. </w:t>
      </w:r>
      <w:r>
        <w:rPr>
          <w:sz w:val="28"/>
          <w:szCs w:val="28"/>
        </w:rPr>
        <w:sym w:font="Symbol" w:char="F0BE"/>
      </w:r>
      <w:r>
        <w:rPr>
          <w:sz w:val="28"/>
          <w:szCs w:val="28"/>
        </w:rPr>
        <w:t xml:space="preserve"> But the condition of being under a general external (i.e., public) lawgiving accompanied with power is the civil condition.”</w:t>
      </w:r>
    </w:p>
    <w:p w14:paraId="01630AD3" w14:textId="77777777" w:rsidR="000D5A88" w:rsidRDefault="000D5A88" w:rsidP="005D0658">
      <w:pPr>
        <w:jc w:val="left"/>
        <w:rPr>
          <w:b/>
          <w:sz w:val="28"/>
          <w:szCs w:val="28"/>
        </w:rPr>
      </w:pPr>
    </w:p>
    <w:p w14:paraId="19E555B7" w14:textId="29EE0EFA" w:rsidR="004E3CE0" w:rsidRDefault="00187064" w:rsidP="005D0658">
      <w:pPr>
        <w:jc w:val="left"/>
        <w:rPr>
          <w:sz w:val="28"/>
          <w:szCs w:val="28"/>
        </w:rPr>
      </w:pPr>
      <w:r>
        <w:rPr>
          <w:sz w:val="28"/>
          <w:szCs w:val="28"/>
        </w:rPr>
        <w:t>(</w:t>
      </w:r>
      <w:proofErr w:type="spellStart"/>
      <w:r>
        <w:rPr>
          <w:sz w:val="28"/>
          <w:szCs w:val="28"/>
        </w:rPr>
        <w:t>i</w:t>
      </w:r>
      <w:proofErr w:type="spellEnd"/>
      <w:r>
        <w:rPr>
          <w:sz w:val="28"/>
          <w:szCs w:val="28"/>
        </w:rPr>
        <w:t xml:space="preserve">.) </w:t>
      </w:r>
      <w:r w:rsidR="003F25EE">
        <w:rPr>
          <w:sz w:val="28"/>
          <w:szCs w:val="28"/>
        </w:rPr>
        <w:t xml:space="preserve">Addressing unilateral choice: The </w:t>
      </w:r>
      <w:proofErr w:type="spellStart"/>
      <w:r w:rsidR="003F25EE">
        <w:rPr>
          <w:sz w:val="28"/>
          <w:szCs w:val="28"/>
        </w:rPr>
        <w:t>omnilateral</w:t>
      </w:r>
      <w:proofErr w:type="spellEnd"/>
      <w:r w:rsidR="003F25EE">
        <w:rPr>
          <w:sz w:val="28"/>
          <w:szCs w:val="28"/>
        </w:rPr>
        <w:t xml:space="preserve"> will</w:t>
      </w:r>
    </w:p>
    <w:p w14:paraId="79F43DA6" w14:textId="77777777" w:rsidR="003F25EE" w:rsidRDefault="003F25EE" w:rsidP="005D0658">
      <w:pPr>
        <w:jc w:val="left"/>
        <w:rPr>
          <w:sz w:val="28"/>
          <w:szCs w:val="28"/>
        </w:rPr>
      </w:pPr>
    </w:p>
    <w:p w14:paraId="2CC16876" w14:textId="269AC9C5" w:rsidR="003F25EE" w:rsidRDefault="003F25EE" w:rsidP="005D0658">
      <w:pPr>
        <w:jc w:val="left"/>
        <w:rPr>
          <w:sz w:val="28"/>
          <w:szCs w:val="28"/>
        </w:rPr>
      </w:pPr>
      <w:r>
        <w:rPr>
          <w:sz w:val="28"/>
          <w:szCs w:val="28"/>
        </w:rPr>
        <w:t>(ii.) Addressing indeterminacy: A judiciary that makes decisions about right</w:t>
      </w:r>
    </w:p>
    <w:p w14:paraId="0D414CBF" w14:textId="77777777" w:rsidR="006314E5" w:rsidRDefault="006314E5" w:rsidP="005D0658">
      <w:pPr>
        <w:jc w:val="left"/>
        <w:rPr>
          <w:sz w:val="28"/>
          <w:szCs w:val="28"/>
        </w:rPr>
      </w:pPr>
    </w:p>
    <w:p w14:paraId="1D2A020C" w14:textId="6392AAC2" w:rsidR="006314E5" w:rsidRDefault="006314E5" w:rsidP="005D0658">
      <w:pPr>
        <w:jc w:val="left"/>
        <w:rPr>
          <w:sz w:val="28"/>
          <w:szCs w:val="28"/>
        </w:rPr>
      </w:pPr>
      <w:r>
        <w:rPr>
          <w:sz w:val="28"/>
          <w:szCs w:val="28"/>
        </w:rPr>
        <w:t xml:space="preserve">(ii.) Addressing </w:t>
      </w:r>
      <w:r w:rsidR="003F25EE">
        <w:rPr>
          <w:sz w:val="28"/>
          <w:szCs w:val="28"/>
        </w:rPr>
        <w:t xml:space="preserve">assurance: </w:t>
      </w:r>
      <w:r w:rsidR="00020199">
        <w:rPr>
          <w:sz w:val="28"/>
          <w:szCs w:val="28"/>
        </w:rPr>
        <w:t>A powerful sovereign</w:t>
      </w:r>
      <w:r w:rsidR="008337AB">
        <w:rPr>
          <w:sz w:val="28"/>
          <w:szCs w:val="28"/>
        </w:rPr>
        <w:t xml:space="preserve"> who enforces the law</w:t>
      </w:r>
    </w:p>
    <w:p w14:paraId="4E138D87" w14:textId="77777777" w:rsidR="006314E5" w:rsidRDefault="006314E5" w:rsidP="005D0658">
      <w:pPr>
        <w:jc w:val="left"/>
        <w:rPr>
          <w:sz w:val="28"/>
          <w:szCs w:val="28"/>
        </w:rPr>
      </w:pPr>
    </w:p>
    <w:p w14:paraId="5F295B84" w14:textId="77777777" w:rsidR="006314E5" w:rsidRDefault="006314E5" w:rsidP="005D0658">
      <w:pPr>
        <w:jc w:val="left"/>
        <w:rPr>
          <w:b/>
          <w:sz w:val="28"/>
          <w:szCs w:val="28"/>
        </w:rPr>
      </w:pPr>
    </w:p>
    <w:p w14:paraId="2ECFE07E" w14:textId="0135B38D" w:rsidR="005D0658" w:rsidRPr="006E0D2B" w:rsidRDefault="005D0658" w:rsidP="005D0658">
      <w:pPr>
        <w:jc w:val="left"/>
        <w:rPr>
          <w:b/>
        </w:rPr>
      </w:pPr>
      <w:r w:rsidRPr="006E0D2B">
        <w:rPr>
          <w:b/>
        </w:rPr>
        <w:t xml:space="preserve">Reading: </w:t>
      </w:r>
    </w:p>
    <w:p w14:paraId="77E40235" w14:textId="77777777" w:rsidR="005D0658" w:rsidRDefault="005D0658" w:rsidP="005D0658">
      <w:pPr>
        <w:jc w:val="left"/>
        <w:rPr>
          <w:b/>
          <w:sz w:val="28"/>
          <w:szCs w:val="28"/>
        </w:rPr>
      </w:pPr>
    </w:p>
    <w:p w14:paraId="6BCF6EE7" w14:textId="0E71ED22" w:rsidR="00C87E19" w:rsidRPr="00C87E19" w:rsidRDefault="00C87E19" w:rsidP="00C51C18">
      <w:pPr>
        <w:ind w:left="1440" w:hanging="1440"/>
        <w:jc w:val="left"/>
      </w:pPr>
      <w:r w:rsidRPr="00C87E19">
        <w:t xml:space="preserve">Primary: </w:t>
      </w:r>
      <w:r w:rsidRPr="00C87E19">
        <w:tab/>
      </w:r>
      <w:r w:rsidRPr="00C87E19">
        <w:rPr>
          <w:i/>
        </w:rPr>
        <w:t xml:space="preserve">Doctrine of Right </w:t>
      </w:r>
      <w:r w:rsidRPr="00C87E19">
        <w:t xml:space="preserve">§§8-9, 15, </w:t>
      </w:r>
      <w:r>
        <w:t>41-42.</w:t>
      </w:r>
    </w:p>
    <w:p w14:paraId="068149FF" w14:textId="43A2F277" w:rsidR="00C87E19" w:rsidRPr="00C87E19" w:rsidRDefault="00C87E19" w:rsidP="00C51C18">
      <w:pPr>
        <w:ind w:left="1440"/>
        <w:jc w:val="left"/>
      </w:pPr>
      <w:r w:rsidRPr="00C87E19">
        <w:t>Hobbes</w:t>
      </w:r>
      <w:r>
        <w:t>,</w:t>
      </w:r>
      <w:r w:rsidRPr="00C87E19">
        <w:t xml:space="preserve"> </w:t>
      </w:r>
      <w:r w:rsidRPr="00C87E19">
        <w:rPr>
          <w:i/>
        </w:rPr>
        <w:t xml:space="preserve">Leviathan </w:t>
      </w:r>
      <w:r>
        <w:t>§§13-14.</w:t>
      </w:r>
    </w:p>
    <w:p w14:paraId="3F7AF4DB" w14:textId="5D3C9326" w:rsidR="00C87E19" w:rsidRPr="00C87E19" w:rsidRDefault="00C87E19" w:rsidP="00C51C18">
      <w:pPr>
        <w:ind w:left="1440"/>
        <w:jc w:val="left"/>
      </w:pPr>
      <w:r w:rsidRPr="00C87E19">
        <w:t>Locke</w:t>
      </w:r>
      <w:r>
        <w:t>,</w:t>
      </w:r>
      <w:r w:rsidRPr="00C87E19">
        <w:t xml:space="preserve"> </w:t>
      </w:r>
      <w:r w:rsidRPr="00C87E19">
        <w:rPr>
          <w:i/>
        </w:rPr>
        <w:t xml:space="preserve">Second Treatise of Government </w:t>
      </w:r>
      <w:r>
        <w:t>§§2-3.</w:t>
      </w:r>
    </w:p>
    <w:p w14:paraId="0D001D7C" w14:textId="7573AA62" w:rsidR="00F97761" w:rsidRPr="00C87E19" w:rsidRDefault="00C87E19" w:rsidP="00C87E19">
      <w:pPr>
        <w:ind w:left="1440"/>
        <w:jc w:val="left"/>
      </w:pPr>
      <w:r w:rsidRPr="00C87E19">
        <w:t>Rousseau</w:t>
      </w:r>
      <w:r>
        <w:t>,</w:t>
      </w:r>
      <w:r w:rsidRPr="00C87E19">
        <w:t xml:space="preserve"> </w:t>
      </w:r>
      <w:r w:rsidRPr="00C87E19">
        <w:rPr>
          <w:i/>
        </w:rPr>
        <w:t xml:space="preserve">Social </w:t>
      </w:r>
      <w:proofErr w:type="gramStart"/>
      <w:r w:rsidRPr="00C87E19">
        <w:rPr>
          <w:i/>
        </w:rPr>
        <w:t xml:space="preserve">Contract  </w:t>
      </w:r>
      <w:r w:rsidRPr="00C87E19">
        <w:t>§</w:t>
      </w:r>
      <w:proofErr w:type="gramEnd"/>
      <w:r w:rsidRPr="00C87E19">
        <w:t>§2-6.</w:t>
      </w:r>
      <w:r w:rsidR="005D0658" w:rsidRPr="00C87E19">
        <w:t xml:space="preserve"> </w:t>
      </w:r>
    </w:p>
    <w:p w14:paraId="4284E6FB" w14:textId="77777777" w:rsidR="006A5B9F" w:rsidRPr="00C87E19" w:rsidRDefault="006A5B9F" w:rsidP="005D0658">
      <w:pPr>
        <w:jc w:val="left"/>
      </w:pPr>
    </w:p>
    <w:p w14:paraId="7F9DFA9B" w14:textId="14FF2D37" w:rsidR="006A5B9F" w:rsidRPr="0098233D" w:rsidRDefault="0098233D" w:rsidP="005D0658">
      <w:pPr>
        <w:jc w:val="left"/>
      </w:pPr>
      <w:r>
        <w:t>Secondary:</w:t>
      </w:r>
      <w:r>
        <w:tab/>
      </w:r>
      <w:r w:rsidR="006A5B9F" w:rsidRPr="00C87E19">
        <w:t>Ripstein</w:t>
      </w:r>
      <w:r>
        <w:t xml:space="preserve">, </w:t>
      </w:r>
      <w:r>
        <w:rPr>
          <w:i/>
        </w:rPr>
        <w:t>Force and Freedom</w:t>
      </w:r>
      <w:r>
        <w:t xml:space="preserve"> </w:t>
      </w:r>
      <w:proofErr w:type="spellStart"/>
      <w:r>
        <w:t>ch.</w:t>
      </w:r>
      <w:proofErr w:type="spellEnd"/>
      <w:r>
        <w:t xml:space="preserve"> 6.</w:t>
      </w:r>
    </w:p>
    <w:p w14:paraId="282934B6" w14:textId="6D48DF1D" w:rsidR="006A5B9F" w:rsidRDefault="006A5B9F" w:rsidP="0098233D">
      <w:pPr>
        <w:ind w:left="720" w:firstLine="720"/>
        <w:jc w:val="left"/>
      </w:pPr>
      <w:proofErr w:type="spellStart"/>
      <w:r w:rsidRPr="00C87E19">
        <w:t>Flikschuh</w:t>
      </w:r>
      <w:proofErr w:type="spellEnd"/>
      <w:r w:rsidR="0098233D">
        <w:t>, “Reason, Right, and Revolution: Kant and Locke”</w:t>
      </w:r>
    </w:p>
    <w:p w14:paraId="1417CA09" w14:textId="77777777" w:rsidR="00B33CD8" w:rsidRDefault="00B33CD8" w:rsidP="00B33CD8">
      <w:pPr>
        <w:ind w:left="1440"/>
        <w:jc w:val="left"/>
      </w:pPr>
      <w:r>
        <w:t xml:space="preserve">Ludwig, “Whence Public Right? The Role of Theoretical and Practical </w:t>
      </w:r>
    </w:p>
    <w:p w14:paraId="3B44DD1C" w14:textId="4D343650" w:rsidR="005D5027" w:rsidRPr="00113527" w:rsidRDefault="00B33CD8" w:rsidP="00B33CD8">
      <w:pPr>
        <w:ind w:left="1440" w:firstLine="720"/>
        <w:jc w:val="left"/>
      </w:pPr>
      <w:r>
        <w:t xml:space="preserve">Reasoning in Kant’s </w:t>
      </w:r>
      <w:proofErr w:type="spellStart"/>
      <w:r>
        <w:rPr>
          <w:i/>
        </w:rPr>
        <w:t>Rechtslehre</w:t>
      </w:r>
      <w:proofErr w:type="spellEnd"/>
      <w:r w:rsidR="00113527">
        <w:t>”</w:t>
      </w:r>
    </w:p>
    <w:p w14:paraId="235BCEC3" w14:textId="4779C69E" w:rsidR="00B33CD8" w:rsidRDefault="00B33CD8" w:rsidP="00B33CD8">
      <w:pPr>
        <w:ind w:left="1440"/>
        <w:jc w:val="left"/>
      </w:pPr>
      <w:r>
        <w:t>Pippin, “Mine and Thine? The Kantian State”</w:t>
      </w:r>
    </w:p>
    <w:p w14:paraId="2F072E9C" w14:textId="77777777" w:rsidR="007C2117" w:rsidRDefault="00B33CD8" w:rsidP="00B33CD8">
      <w:pPr>
        <w:ind w:left="1440"/>
        <w:jc w:val="left"/>
        <w:rPr>
          <w:lang w:val="en-GB"/>
        </w:rPr>
      </w:pPr>
      <w:proofErr w:type="spellStart"/>
      <w:r>
        <w:t>H</w:t>
      </w:r>
      <w:r w:rsidRPr="00865B5A">
        <w:t>öffe</w:t>
      </w:r>
      <w:proofErr w:type="spellEnd"/>
      <w:r>
        <w:rPr>
          <w:lang w:val="en-GB"/>
        </w:rPr>
        <w:t>, “</w:t>
      </w:r>
      <w:r w:rsidR="00865B5A" w:rsidRPr="00865B5A">
        <w:t>Even a nation of devils needs the state</w:t>
      </w:r>
      <w:r w:rsidR="007C2117">
        <w:rPr>
          <w:lang w:val="en-GB"/>
        </w:rPr>
        <w:t>: the</w:t>
      </w:r>
      <w:r w:rsidR="00865B5A">
        <w:rPr>
          <w:lang w:val="en-GB"/>
        </w:rPr>
        <w:t xml:space="preserve"> dilemma </w:t>
      </w:r>
      <w:r w:rsidR="007C2117">
        <w:rPr>
          <w:lang w:val="en-GB"/>
        </w:rPr>
        <w:t>of natural</w:t>
      </w:r>
      <w:r w:rsidR="00865B5A">
        <w:rPr>
          <w:lang w:val="en-GB"/>
        </w:rPr>
        <w:t xml:space="preserve"> </w:t>
      </w:r>
    </w:p>
    <w:p w14:paraId="25C57311" w14:textId="4193D2B1" w:rsidR="00B33CD8" w:rsidRPr="00865B5A" w:rsidRDefault="00865B5A" w:rsidP="007C2117">
      <w:pPr>
        <w:ind w:left="1440" w:firstLine="720"/>
        <w:jc w:val="left"/>
        <w:rPr>
          <w:lang w:val="en-GB"/>
        </w:rPr>
      </w:pPr>
      <w:r>
        <w:rPr>
          <w:lang w:val="en-GB"/>
        </w:rPr>
        <w:t>justice”</w:t>
      </w:r>
    </w:p>
    <w:p w14:paraId="07E9EADE" w14:textId="77777777" w:rsidR="00C31F76" w:rsidRDefault="00C31F76" w:rsidP="00C31F76">
      <w:pPr>
        <w:ind w:left="720" w:firstLine="720"/>
        <w:jc w:val="left"/>
      </w:pPr>
      <w:r>
        <w:t xml:space="preserve">Sinclair, “The Power of Public Positions: Official Roles in Kantian </w:t>
      </w:r>
    </w:p>
    <w:p w14:paraId="7613FB60" w14:textId="38B1BCA1" w:rsidR="006A5B9F" w:rsidRPr="00C87E19" w:rsidRDefault="00C31F76" w:rsidP="00894238">
      <w:pPr>
        <w:ind w:left="1440" w:firstLine="720"/>
        <w:jc w:val="left"/>
      </w:pPr>
      <w:r>
        <w:t>Legitim</w:t>
      </w:r>
      <w:r>
        <w:tab/>
      </w:r>
      <w:proofErr w:type="spellStart"/>
      <w:r>
        <w:t>acy</w:t>
      </w:r>
      <w:proofErr w:type="spellEnd"/>
      <w:r>
        <w:t>”</w:t>
      </w:r>
    </w:p>
    <w:sectPr w:rsidR="006A5B9F" w:rsidRPr="00C87E19" w:rsidSect="0026128F">
      <w:headerReference w:type="default" r:id="rId7"/>
      <w:pgSz w:w="11900" w:h="16840"/>
      <w:pgMar w:top="1440" w:right="1843" w:bottom="1440" w:left="1843"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AD75" w14:textId="77777777" w:rsidR="008D0869" w:rsidRDefault="008D0869" w:rsidP="0026128F">
      <w:r>
        <w:separator/>
      </w:r>
    </w:p>
  </w:endnote>
  <w:endnote w:type="continuationSeparator" w:id="0">
    <w:p w14:paraId="168FB329" w14:textId="77777777" w:rsidR="008D0869" w:rsidRDefault="008D0869" w:rsidP="0026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CCBCB" w14:textId="77777777" w:rsidR="008D0869" w:rsidRDefault="008D0869" w:rsidP="0026128F">
      <w:r>
        <w:separator/>
      </w:r>
    </w:p>
  </w:footnote>
  <w:footnote w:type="continuationSeparator" w:id="0">
    <w:p w14:paraId="6E9BE365" w14:textId="77777777" w:rsidR="008D0869" w:rsidRDefault="008D0869" w:rsidP="0026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50D2" w14:textId="77777777" w:rsidR="0026128F" w:rsidRDefault="0026128F" w:rsidP="008F290A">
    <w:pPr>
      <w:pStyle w:val="Header"/>
      <w:jc w:val="left"/>
    </w:pPr>
    <w:r>
      <w:t>L.J. Davies</w:t>
    </w:r>
  </w:p>
  <w:p w14:paraId="5E69C190" w14:textId="049503DA" w:rsidR="008F290A" w:rsidRDefault="008F290A" w:rsidP="008F290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D65"/>
    <w:multiLevelType w:val="hybridMultilevel"/>
    <w:tmpl w:val="A84ACE36"/>
    <w:lvl w:ilvl="0" w:tplc="066813F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11972"/>
    <w:multiLevelType w:val="hybridMultilevel"/>
    <w:tmpl w:val="4B3A7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8F"/>
    <w:rsid w:val="00020199"/>
    <w:rsid w:val="00041341"/>
    <w:rsid w:val="000526A2"/>
    <w:rsid w:val="000A07A6"/>
    <w:rsid w:val="000A4D54"/>
    <w:rsid w:val="000B5A62"/>
    <w:rsid w:val="000C35F2"/>
    <w:rsid w:val="000D5A88"/>
    <w:rsid w:val="000E3239"/>
    <w:rsid w:val="00113527"/>
    <w:rsid w:val="0013078B"/>
    <w:rsid w:val="001351A1"/>
    <w:rsid w:val="00160367"/>
    <w:rsid w:val="001619C3"/>
    <w:rsid w:val="00181878"/>
    <w:rsid w:val="00187064"/>
    <w:rsid w:val="001B2B25"/>
    <w:rsid w:val="001C1F51"/>
    <w:rsid w:val="00200458"/>
    <w:rsid w:val="0025304B"/>
    <w:rsid w:val="0026128F"/>
    <w:rsid w:val="0027090F"/>
    <w:rsid w:val="00294034"/>
    <w:rsid w:val="002C5D81"/>
    <w:rsid w:val="002F6080"/>
    <w:rsid w:val="00321A04"/>
    <w:rsid w:val="003A680E"/>
    <w:rsid w:val="003C4FB5"/>
    <w:rsid w:val="003F0F4D"/>
    <w:rsid w:val="003F25EE"/>
    <w:rsid w:val="003F6F1A"/>
    <w:rsid w:val="00406C9E"/>
    <w:rsid w:val="0042253B"/>
    <w:rsid w:val="00424A52"/>
    <w:rsid w:val="00424EE4"/>
    <w:rsid w:val="00427054"/>
    <w:rsid w:val="00470F55"/>
    <w:rsid w:val="00471B3A"/>
    <w:rsid w:val="00473368"/>
    <w:rsid w:val="00484324"/>
    <w:rsid w:val="004B5C08"/>
    <w:rsid w:val="004E3CE0"/>
    <w:rsid w:val="005300F3"/>
    <w:rsid w:val="005663C5"/>
    <w:rsid w:val="00574664"/>
    <w:rsid w:val="00575F9D"/>
    <w:rsid w:val="00595D21"/>
    <w:rsid w:val="005A5AF6"/>
    <w:rsid w:val="005D0658"/>
    <w:rsid w:val="005D5027"/>
    <w:rsid w:val="00602878"/>
    <w:rsid w:val="00607888"/>
    <w:rsid w:val="006179D6"/>
    <w:rsid w:val="0062256E"/>
    <w:rsid w:val="006314E5"/>
    <w:rsid w:val="00637C60"/>
    <w:rsid w:val="00657E96"/>
    <w:rsid w:val="00681626"/>
    <w:rsid w:val="0069020A"/>
    <w:rsid w:val="006A2AA1"/>
    <w:rsid w:val="006A5B9F"/>
    <w:rsid w:val="006B195E"/>
    <w:rsid w:val="006B6836"/>
    <w:rsid w:val="006E0D2B"/>
    <w:rsid w:val="006E614E"/>
    <w:rsid w:val="00710689"/>
    <w:rsid w:val="0071513F"/>
    <w:rsid w:val="00725F91"/>
    <w:rsid w:val="0073332B"/>
    <w:rsid w:val="007441FC"/>
    <w:rsid w:val="00744D77"/>
    <w:rsid w:val="007509B3"/>
    <w:rsid w:val="00781157"/>
    <w:rsid w:val="00791A24"/>
    <w:rsid w:val="007B14FB"/>
    <w:rsid w:val="007C2117"/>
    <w:rsid w:val="007C5E61"/>
    <w:rsid w:val="007F2702"/>
    <w:rsid w:val="008337AB"/>
    <w:rsid w:val="00844981"/>
    <w:rsid w:val="00865B5A"/>
    <w:rsid w:val="00894238"/>
    <w:rsid w:val="008D0869"/>
    <w:rsid w:val="008E2C64"/>
    <w:rsid w:val="008F0FBD"/>
    <w:rsid w:val="008F290A"/>
    <w:rsid w:val="008F3629"/>
    <w:rsid w:val="00921594"/>
    <w:rsid w:val="0092556B"/>
    <w:rsid w:val="009265D5"/>
    <w:rsid w:val="00947A4B"/>
    <w:rsid w:val="00964D65"/>
    <w:rsid w:val="00972628"/>
    <w:rsid w:val="0098233D"/>
    <w:rsid w:val="00982472"/>
    <w:rsid w:val="009C3894"/>
    <w:rsid w:val="009C5524"/>
    <w:rsid w:val="00A721CA"/>
    <w:rsid w:val="00A74B1E"/>
    <w:rsid w:val="00A92920"/>
    <w:rsid w:val="00A96044"/>
    <w:rsid w:val="00A96B3B"/>
    <w:rsid w:val="00AB3BFB"/>
    <w:rsid w:val="00AB7A1E"/>
    <w:rsid w:val="00B33CD8"/>
    <w:rsid w:val="00B52477"/>
    <w:rsid w:val="00B72C66"/>
    <w:rsid w:val="00BC3DB1"/>
    <w:rsid w:val="00BD7D92"/>
    <w:rsid w:val="00BF686B"/>
    <w:rsid w:val="00C021AB"/>
    <w:rsid w:val="00C31F76"/>
    <w:rsid w:val="00C420CC"/>
    <w:rsid w:val="00C51C18"/>
    <w:rsid w:val="00C6247A"/>
    <w:rsid w:val="00C645D8"/>
    <w:rsid w:val="00C65C95"/>
    <w:rsid w:val="00C73A7F"/>
    <w:rsid w:val="00C87E19"/>
    <w:rsid w:val="00CF5369"/>
    <w:rsid w:val="00D17D81"/>
    <w:rsid w:val="00D22154"/>
    <w:rsid w:val="00D2527D"/>
    <w:rsid w:val="00D6555A"/>
    <w:rsid w:val="00D65A31"/>
    <w:rsid w:val="00DA7658"/>
    <w:rsid w:val="00DC5795"/>
    <w:rsid w:val="00DE6770"/>
    <w:rsid w:val="00DF1BBF"/>
    <w:rsid w:val="00E36D53"/>
    <w:rsid w:val="00EB3115"/>
    <w:rsid w:val="00EB680C"/>
    <w:rsid w:val="00EC234B"/>
    <w:rsid w:val="00F75D3C"/>
    <w:rsid w:val="00F765DB"/>
    <w:rsid w:val="00F97761"/>
    <w:rsid w:val="00FD574E"/>
    <w:rsid w:val="00FE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020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i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28F"/>
    <w:pPr>
      <w:jc w:val="both"/>
    </w:pPr>
  </w:style>
  <w:style w:type="paragraph" w:styleId="Heading1">
    <w:name w:val="heading 1"/>
    <w:basedOn w:val="Normal"/>
    <w:next w:val="BodyText"/>
    <w:link w:val="Heading1Char"/>
    <w:autoRedefine/>
    <w:uiPriority w:val="9"/>
    <w:qFormat/>
    <w:rsid w:val="003F0F4D"/>
    <w:pPr>
      <w:keepNext/>
      <w:keepLines/>
      <w:spacing w:before="480" w:after="1000"/>
      <w:outlineLvl w:val="0"/>
    </w:pPr>
    <w:rPr>
      <w:rFonts w:eastAsiaTheme="majorEastAsia" w:cstheme="majorBidi"/>
      <w:b/>
      <w:bCs/>
      <w:color w:val="2D4F8E" w:themeColor="accent1" w:themeShade="B5"/>
      <w:sz w:val="28"/>
      <w:szCs w:val="32"/>
    </w:rPr>
  </w:style>
  <w:style w:type="paragraph" w:styleId="Heading2">
    <w:name w:val="heading 2"/>
    <w:basedOn w:val="Normal"/>
    <w:next w:val="Normal"/>
    <w:link w:val="Heading2Char"/>
    <w:autoRedefine/>
    <w:uiPriority w:val="9"/>
    <w:unhideWhenUsed/>
    <w:qFormat/>
    <w:rsid w:val="003F0F4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3F0F4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3F0F4D"/>
    <w:pPr>
      <w:keepNext/>
      <w:keepLines/>
      <w:spacing w:before="40"/>
      <w:outlineLvl w:val="3"/>
    </w:pPr>
    <w:rPr>
      <w:rFonts w:asciiTheme="majorHAnsi" w:eastAsiaTheme="majorEastAsia" w:hAnsiTheme="majorHAnsi" w:cstheme="majorBidi"/>
      <w:i/>
      <w:iCs w:val="0"/>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4D"/>
    <w:rPr>
      <w:rFonts w:eastAsiaTheme="majorEastAsia" w:cstheme="majorBidi"/>
      <w:b/>
      <w:bCs/>
      <w:color w:val="2D4F8E" w:themeColor="accent1" w:themeShade="B5"/>
      <w:sz w:val="28"/>
      <w:szCs w:val="32"/>
    </w:rPr>
  </w:style>
  <w:style w:type="paragraph" w:styleId="BodyText">
    <w:name w:val="Body Text"/>
    <w:basedOn w:val="Normal"/>
    <w:link w:val="BodyTextChar"/>
    <w:uiPriority w:val="99"/>
    <w:semiHidden/>
    <w:unhideWhenUsed/>
    <w:rsid w:val="00781157"/>
    <w:pPr>
      <w:spacing w:after="120"/>
    </w:pPr>
  </w:style>
  <w:style w:type="character" w:customStyle="1" w:styleId="BodyTextChar">
    <w:name w:val="Body Text Char"/>
    <w:basedOn w:val="DefaultParagraphFont"/>
    <w:link w:val="BodyText"/>
    <w:uiPriority w:val="99"/>
    <w:semiHidden/>
    <w:rsid w:val="00781157"/>
  </w:style>
  <w:style w:type="paragraph" w:styleId="FootnoteText">
    <w:name w:val="footnote text"/>
    <w:basedOn w:val="Normal"/>
    <w:link w:val="FootnoteTextChar"/>
    <w:uiPriority w:val="9"/>
    <w:unhideWhenUsed/>
    <w:qFormat/>
    <w:rsid w:val="00781157"/>
    <w:pPr>
      <w:spacing w:after="200"/>
    </w:pPr>
    <w:rPr>
      <w:sz w:val="20"/>
    </w:rPr>
  </w:style>
  <w:style w:type="character" w:customStyle="1" w:styleId="FootnoteTextChar">
    <w:name w:val="Footnote Text Char"/>
    <w:basedOn w:val="DefaultParagraphFont"/>
    <w:link w:val="FootnoteText"/>
    <w:uiPriority w:val="9"/>
    <w:rsid w:val="00781157"/>
    <w:rPr>
      <w:rFonts w:ascii="Garamond" w:hAnsi="Garamond"/>
      <w:sz w:val="20"/>
    </w:rPr>
  </w:style>
  <w:style w:type="paragraph" w:styleId="BlockText">
    <w:name w:val="Block Text"/>
    <w:basedOn w:val="Normal"/>
    <w:next w:val="BodyText"/>
    <w:uiPriority w:val="9"/>
    <w:unhideWhenUsed/>
    <w:qFormat/>
    <w:rsid w:val="003F0F4D"/>
    <w:pPr>
      <w:spacing w:before="100" w:after="100"/>
    </w:pPr>
    <w:rPr>
      <w:rFonts w:eastAsiaTheme="majorEastAsia" w:cstheme="majorBidi"/>
      <w:bCs/>
      <w:sz w:val="22"/>
      <w:szCs w:val="20"/>
    </w:rPr>
  </w:style>
  <w:style w:type="character" w:customStyle="1" w:styleId="Heading2Char">
    <w:name w:val="Heading 2 Char"/>
    <w:basedOn w:val="DefaultParagraphFont"/>
    <w:link w:val="Heading2"/>
    <w:uiPriority w:val="9"/>
    <w:rsid w:val="003F0F4D"/>
    <w:rPr>
      <w:rFonts w:ascii="Garamond" w:eastAsiaTheme="majorEastAsia" w:hAnsi="Garamond" w:cstheme="majorBidi"/>
      <w:color w:val="2F5496" w:themeColor="accent1" w:themeShade="BF"/>
      <w:sz w:val="26"/>
      <w:szCs w:val="26"/>
    </w:rPr>
  </w:style>
  <w:style w:type="character" w:customStyle="1" w:styleId="Heading3Char">
    <w:name w:val="Heading 3 Char"/>
    <w:basedOn w:val="DefaultParagraphFont"/>
    <w:link w:val="Heading3"/>
    <w:uiPriority w:val="9"/>
    <w:rsid w:val="003F0F4D"/>
    <w:rPr>
      <w:rFonts w:ascii="Garamond" w:eastAsiaTheme="majorEastAsia" w:hAnsi="Garamond" w:cstheme="majorBidi"/>
      <w:color w:val="1F3763" w:themeColor="accent1" w:themeShade="7F"/>
    </w:rPr>
  </w:style>
  <w:style w:type="paragraph" w:styleId="NoSpacing">
    <w:name w:val="No Spacing"/>
    <w:basedOn w:val="Heading4"/>
    <w:autoRedefine/>
    <w:uiPriority w:val="1"/>
    <w:qFormat/>
    <w:rsid w:val="003F0F4D"/>
    <w:rPr>
      <w:rFonts w:ascii="Garamond" w:hAnsi="Garamond"/>
    </w:rPr>
  </w:style>
  <w:style w:type="character" w:customStyle="1" w:styleId="Heading4Char">
    <w:name w:val="Heading 4 Char"/>
    <w:basedOn w:val="DefaultParagraphFont"/>
    <w:link w:val="Heading4"/>
    <w:uiPriority w:val="9"/>
    <w:semiHidden/>
    <w:rsid w:val="003F0F4D"/>
    <w:rPr>
      <w:rFonts w:asciiTheme="majorHAnsi" w:eastAsiaTheme="majorEastAsia" w:hAnsiTheme="majorHAnsi" w:cstheme="majorBidi"/>
      <w:i/>
      <w:iCs w:val="0"/>
      <w:color w:val="2F5496" w:themeColor="accent1" w:themeShade="BF"/>
    </w:rPr>
  </w:style>
  <w:style w:type="paragraph" w:styleId="Title">
    <w:name w:val="Title"/>
    <w:basedOn w:val="Normal"/>
    <w:next w:val="Normal"/>
    <w:link w:val="TitleChar"/>
    <w:autoRedefine/>
    <w:uiPriority w:val="10"/>
    <w:qFormat/>
    <w:rsid w:val="003F0F4D"/>
    <w:pPr>
      <w:contextualSpacing/>
      <w:jc w:val="center"/>
    </w:pPr>
    <w:rPr>
      <w:rFonts w:eastAsiaTheme="majorEastAsia" w:cstheme="majorBidi"/>
      <w:color w:val="4472C4" w:themeColor="accent1"/>
      <w:spacing w:val="-10"/>
      <w:kern w:val="28"/>
      <w:sz w:val="36"/>
      <w:szCs w:val="56"/>
    </w:rPr>
  </w:style>
  <w:style w:type="character" w:customStyle="1" w:styleId="TitleChar">
    <w:name w:val="Title Char"/>
    <w:basedOn w:val="DefaultParagraphFont"/>
    <w:link w:val="Title"/>
    <w:uiPriority w:val="10"/>
    <w:rsid w:val="003F0F4D"/>
    <w:rPr>
      <w:rFonts w:eastAsiaTheme="majorEastAsia" w:cstheme="majorBidi"/>
      <w:color w:val="4472C4" w:themeColor="accent1"/>
      <w:spacing w:val="-10"/>
      <w:kern w:val="28"/>
      <w:sz w:val="36"/>
      <w:szCs w:val="56"/>
    </w:rPr>
  </w:style>
  <w:style w:type="paragraph" w:styleId="Quote">
    <w:name w:val="Quote"/>
    <w:basedOn w:val="Normal"/>
    <w:next w:val="Normal"/>
    <w:link w:val="QuoteChar"/>
    <w:autoRedefine/>
    <w:uiPriority w:val="29"/>
    <w:qFormat/>
    <w:rsid w:val="003F0F4D"/>
    <w:pPr>
      <w:spacing w:before="200" w:after="160"/>
      <w:ind w:left="864" w:right="864"/>
    </w:pPr>
    <w:rPr>
      <w:iCs w:val="0"/>
      <w:color w:val="404040" w:themeColor="text1" w:themeTint="BF"/>
      <w:sz w:val="22"/>
    </w:rPr>
  </w:style>
  <w:style w:type="character" w:customStyle="1" w:styleId="QuoteChar">
    <w:name w:val="Quote Char"/>
    <w:basedOn w:val="DefaultParagraphFont"/>
    <w:link w:val="Quote"/>
    <w:uiPriority w:val="29"/>
    <w:rsid w:val="003F0F4D"/>
    <w:rPr>
      <w:iCs w:val="0"/>
      <w:color w:val="404040" w:themeColor="text1" w:themeTint="BF"/>
      <w:sz w:val="22"/>
    </w:rPr>
  </w:style>
  <w:style w:type="paragraph" w:styleId="Header">
    <w:name w:val="header"/>
    <w:basedOn w:val="Normal"/>
    <w:link w:val="HeaderChar"/>
    <w:uiPriority w:val="99"/>
    <w:unhideWhenUsed/>
    <w:rsid w:val="0026128F"/>
    <w:pPr>
      <w:tabs>
        <w:tab w:val="center" w:pos="4513"/>
        <w:tab w:val="right" w:pos="9026"/>
      </w:tabs>
    </w:pPr>
  </w:style>
  <w:style w:type="character" w:customStyle="1" w:styleId="HeaderChar">
    <w:name w:val="Header Char"/>
    <w:basedOn w:val="DefaultParagraphFont"/>
    <w:link w:val="Header"/>
    <w:uiPriority w:val="99"/>
    <w:rsid w:val="0026128F"/>
  </w:style>
  <w:style w:type="paragraph" w:styleId="Footer">
    <w:name w:val="footer"/>
    <w:basedOn w:val="Normal"/>
    <w:link w:val="FooterChar"/>
    <w:uiPriority w:val="99"/>
    <w:unhideWhenUsed/>
    <w:rsid w:val="0026128F"/>
    <w:pPr>
      <w:tabs>
        <w:tab w:val="center" w:pos="4513"/>
        <w:tab w:val="right" w:pos="9026"/>
      </w:tabs>
    </w:pPr>
  </w:style>
  <w:style w:type="character" w:customStyle="1" w:styleId="FooterChar">
    <w:name w:val="Footer Char"/>
    <w:basedOn w:val="DefaultParagraphFont"/>
    <w:link w:val="Footer"/>
    <w:uiPriority w:val="99"/>
    <w:rsid w:val="0026128F"/>
  </w:style>
  <w:style w:type="paragraph" w:styleId="ListParagraph">
    <w:name w:val="List Paragraph"/>
    <w:basedOn w:val="Normal"/>
    <w:uiPriority w:val="34"/>
    <w:qFormat/>
    <w:rsid w:val="0026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 Davies</dc:creator>
  <cp:keywords/>
  <dc:description/>
  <cp:lastModifiedBy>Microsoft Office User</cp:lastModifiedBy>
  <cp:revision>114</cp:revision>
  <dcterms:created xsi:type="dcterms:W3CDTF">2017-03-23T15:22:00Z</dcterms:created>
  <dcterms:modified xsi:type="dcterms:W3CDTF">2019-04-04T13:06:00Z</dcterms:modified>
</cp:coreProperties>
</file>